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51F1" w14:textId="4D53F4B1" w:rsidR="00787205" w:rsidRDefault="00523074" w:rsidP="00523074">
      <w:pPr>
        <w:tabs>
          <w:tab w:val="center" w:pos="4819"/>
          <w:tab w:val="right" w:pos="9638"/>
        </w:tabs>
        <w:suppressAutoHyphens/>
        <w:jc w:val="center"/>
        <w:rPr>
          <w:sz w:val="8"/>
        </w:rPr>
      </w:pPr>
      <w:r>
        <w:rPr>
          <w:rFonts w:ascii="TimesLT" w:hAnsi="TimesLT"/>
          <w:noProof/>
          <w:color w:val="000000"/>
          <w:sz w:val="8"/>
          <w:lang w:eastAsia="lt-LT"/>
        </w:rPr>
        <w:drawing>
          <wp:inline distT="0" distB="0" distL="0" distR="0" wp14:anchorId="18BC520E" wp14:editId="18BC520F">
            <wp:extent cx="571500" cy="6858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C51F7" w14:textId="77777777" w:rsidR="00787205" w:rsidRDefault="00523074">
      <w:pPr>
        <w:suppressAutoHyphens/>
        <w:ind w:firstLine="62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VALSTYBINĖS MAISTO IR VETERINARIJOS TARNYBOS</w:t>
      </w:r>
    </w:p>
    <w:p w14:paraId="18BC51F8" w14:textId="77777777" w:rsidR="00787205" w:rsidRDefault="00523074">
      <w:pPr>
        <w:spacing w:line="259" w:lineRule="auto"/>
        <w:jc w:val="center"/>
        <w:rPr>
          <w:rFonts w:eastAsia="Calibri"/>
          <w:szCs w:val="24"/>
        </w:rPr>
      </w:pPr>
      <w:r>
        <w:rPr>
          <w:rFonts w:eastAsia="Calibri"/>
          <w:b/>
          <w:szCs w:val="24"/>
        </w:rPr>
        <w:t>DIREKTORIUS</w:t>
      </w:r>
    </w:p>
    <w:p w14:paraId="18BC51F9" w14:textId="77777777" w:rsidR="00787205" w:rsidRDefault="00787205">
      <w:pPr>
        <w:rPr>
          <w:szCs w:val="24"/>
          <w:lang w:eastAsia="lt-LT"/>
        </w:rPr>
      </w:pPr>
    </w:p>
    <w:p w14:paraId="18BC51FA" w14:textId="77777777" w:rsidR="00787205" w:rsidRDefault="00523074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ĮSAKYMAS </w:t>
      </w:r>
    </w:p>
    <w:p w14:paraId="18BC51FB" w14:textId="77777777" w:rsidR="00787205" w:rsidRDefault="00523074">
      <w:pPr>
        <w:jc w:val="center"/>
        <w:rPr>
          <w:szCs w:val="24"/>
          <w:lang w:eastAsia="lt-LT"/>
        </w:rPr>
      </w:pPr>
      <w:r>
        <w:rPr>
          <w:rFonts w:eastAsia="Calibri"/>
          <w:b/>
          <w:bCs/>
          <w:szCs w:val="24"/>
        </w:rPr>
        <w:t>DĖL VALSTYBINĖS MAISTO IR VETERINARIJOS TARNYBOS DIREKTORIAUS 2016 M. KOVO 30  D. ĮSAKYMO NR. B1-265 „</w:t>
      </w:r>
      <w:r>
        <w:rPr>
          <w:rFonts w:eastAsia="Calibri"/>
          <w:b/>
          <w:bCs/>
          <w:color w:val="000000"/>
          <w:szCs w:val="24"/>
        </w:rPr>
        <w:t xml:space="preserve">DĖL </w:t>
      </w:r>
      <w:r>
        <w:rPr>
          <w:rFonts w:eastAsia="Calibri"/>
          <w:b/>
          <w:bCs/>
          <w:color w:val="000000"/>
          <w:szCs w:val="24"/>
        </w:rPr>
        <w:t>AFRIKINIO KIAULIŲ MARO STEBĖSENOS IR KONTROLĖS PRIEMONIŲ ŠERNŲ POPULIACIJOJE IR KIAULIŲ LAIKYMO VIETOSE</w:t>
      </w:r>
      <w:r>
        <w:rPr>
          <w:rFonts w:eastAsia="Calibri"/>
          <w:b/>
          <w:bCs/>
          <w:szCs w:val="24"/>
        </w:rPr>
        <w:t>“ PAKEITIMO</w:t>
      </w:r>
    </w:p>
    <w:p w14:paraId="18BC51FC" w14:textId="77777777" w:rsidR="00787205" w:rsidRDefault="00787205">
      <w:pPr>
        <w:ind w:firstLine="62"/>
        <w:jc w:val="center"/>
        <w:rPr>
          <w:szCs w:val="24"/>
          <w:lang w:eastAsia="lt-LT"/>
        </w:rPr>
      </w:pPr>
    </w:p>
    <w:p w14:paraId="18BC51FD" w14:textId="77777777" w:rsidR="00787205" w:rsidRDefault="0052307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rugsėjo 29 d. Nr. B1-609</w:t>
      </w:r>
    </w:p>
    <w:p w14:paraId="18BC51FE" w14:textId="77777777" w:rsidR="00787205" w:rsidRDefault="0052307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 </w:t>
      </w:r>
    </w:p>
    <w:p w14:paraId="18BC51FF" w14:textId="77777777" w:rsidR="00787205" w:rsidRDefault="00787205">
      <w:pPr>
        <w:ind w:firstLine="62"/>
        <w:jc w:val="center"/>
        <w:rPr>
          <w:szCs w:val="24"/>
          <w:lang w:eastAsia="lt-LT"/>
        </w:rPr>
      </w:pPr>
    </w:p>
    <w:p w14:paraId="2EFADA0C" w14:textId="77777777" w:rsidR="00523074" w:rsidRDefault="00523074">
      <w:pPr>
        <w:ind w:firstLine="62"/>
        <w:jc w:val="center"/>
        <w:rPr>
          <w:szCs w:val="24"/>
          <w:lang w:eastAsia="lt-LT"/>
        </w:rPr>
      </w:pPr>
    </w:p>
    <w:p w14:paraId="18BC5200" w14:textId="77777777" w:rsidR="00787205" w:rsidRDefault="0052307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veterinarijos įstatymo 6 straipsnio 3 dalimi ir atsižvelgdama</w:t>
      </w:r>
      <w:r>
        <w:rPr>
          <w:color w:val="000000"/>
          <w:szCs w:val="24"/>
          <w:lang w:eastAsia="lt-LT"/>
        </w:rPr>
        <w:t xml:space="preserve">s į 2017 m. liepos 3 d. Komisijos įgyvendinimo sprendimą (ES) 2017/1196, kuriuo iš dalies keičiamas Įgyvendinimo sprendimas 2014/709/ES dėl gyvūnų sveikatos kontrolės priemonių, susijusių su </w:t>
      </w:r>
      <w:proofErr w:type="spellStart"/>
      <w:r>
        <w:rPr>
          <w:color w:val="000000"/>
          <w:szCs w:val="24"/>
          <w:lang w:eastAsia="lt-LT"/>
        </w:rPr>
        <w:t>afrikiniu</w:t>
      </w:r>
      <w:proofErr w:type="spellEnd"/>
      <w:r>
        <w:rPr>
          <w:color w:val="000000"/>
          <w:szCs w:val="24"/>
          <w:lang w:eastAsia="lt-LT"/>
        </w:rPr>
        <w:t xml:space="preserve"> kiaulių maru tam tikrose valstybėse narėse (OL 2017 L 1</w:t>
      </w:r>
      <w:r>
        <w:rPr>
          <w:color w:val="000000"/>
          <w:szCs w:val="24"/>
          <w:lang w:eastAsia="lt-LT"/>
        </w:rPr>
        <w:t>72, p. 16),</w:t>
      </w:r>
    </w:p>
    <w:p w14:paraId="18BC5201" w14:textId="77777777" w:rsidR="00787205" w:rsidRDefault="00523074">
      <w:pPr>
        <w:tabs>
          <w:tab w:val="left" w:pos="851"/>
        </w:tabs>
        <w:ind w:firstLine="567"/>
        <w:jc w:val="both"/>
        <w:rPr>
          <w:rFonts w:eastAsia="Calibri"/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p a k e i č i u  </w:t>
      </w:r>
      <w:r>
        <w:rPr>
          <w:rFonts w:eastAsia="Calibri"/>
          <w:szCs w:val="24"/>
        </w:rPr>
        <w:t xml:space="preserve">Valstybinės maisto ir veterinarijos tarnybos direktoriaus </w:t>
      </w:r>
      <w:r>
        <w:rPr>
          <w:rFonts w:eastAsia="Calibri"/>
          <w:color w:val="000000"/>
          <w:szCs w:val="24"/>
        </w:rPr>
        <w:t xml:space="preserve">2016 m. kovo 30 d. įsakymą Nr. B1-265 „Dėl </w:t>
      </w:r>
      <w:proofErr w:type="spellStart"/>
      <w:r>
        <w:rPr>
          <w:rFonts w:eastAsia="Calibri"/>
          <w:color w:val="000000"/>
          <w:szCs w:val="24"/>
        </w:rPr>
        <w:t>afrikinio</w:t>
      </w:r>
      <w:proofErr w:type="spellEnd"/>
      <w:r>
        <w:rPr>
          <w:rFonts w:eastAsia="Calibri"/>
          <w:color w:val="000000"/>
          <w:szCs w:val="24"/>
        </w:rPr>
        <w:t xml:space="preserve"> kiaulių maro </w:t>
      </w:r>
      <w:proofErr w:type="spellStart"/>
      <w:r>
        <w:rPr>
          <w:rFonts w:eastAsia="Calibri"/>
          <w:color w:val="000000"/>
          <w:szCs w:val="24"/>
        </w:rPr>
        <w:t>stebėsenos</w:t>
      </w:r>
      <w:proofErr w:type="spellEnd"/>
      <w:r>
        <w:rPr>
          <w:rFonts w:eastAsia="Calibri"/>
          <w:color w:val="000000"/>
          <w:szCs w:val="24"/>
        </w:rPr>
        <w:t xml:space="preserve"> ir kontrolės priemonių šernų populiacijoje ir kiaulių laikymo vietose“:</w:t>
      </w:r>
    </w:p>
    <w:p w14:paraId="18BC5202" w14:textId="77777777" w:rsidR="00787205" w:rsidRDefault="00523074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1</w:t>
      </w:r>
      <w:r>
        <w:rPr>
          <w:rFonts w:eastAsia="Calibri"/>
          <w:color w:val="000000"/>
          <w:szCs w:val="24"/>
          <w:lang w:eastAsia="lt-LT"/>
        </w:rPr>
        <w:t>.</w:t>
      </w:r>
      <w:r>
        <w:rPr>
          <w:rFonts w:eastAsia="Calibri"/>
          <w:color w:val="000000"/>
          <w:szCs w:val="24"/>
          <w:lang w:eastAsia="lt-LT"/>
        </w:rPr>
        <w:tab/>
      </w:r>
      <w:r>
        <w:rPr>
          <w:rFonts w:eastAsia="Calibri"/>
          <w:color w:val="000000"/>
          <w:szCs w:val="24"/>
        </w:rPr>
        <w:t xml:space="preserve"> Pakeičiu 2.5 papunktį ir jį išdėstau taip:</w:t>
      </w:r>
    </w:p>
    <w:p w14:paraId="18BC5203" w14:textId="77777777" w:rsidR="00787205" w:rsidRDefault="00523074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>. išvežti šernus:</w:t>
      </w:r>
    </w:p>
    <w:p w14:paraId="18BC5204" w14:textId="77777777" w:rsidR="00787205" w:rsidRDefault="00523074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2.5.1</w:t>
      </w:r>
      <w:r>
        <w:rPr>
          <w:szCs w:val="24"/>
          <w:lang w:eastAsia="lt-LT"/>
        </w:rPr>
        <w:t xml:space="preserve">. iš Lietuvos Respublikos į kitas ES valstybes ir trečiąsias šalis, </w:t>
      </w:r>
    </w:p>
    <w:p w14:paraId="18BC5205" w14:textId="77777777" w:rsidR="00787205" w:rsidRDefault="00523074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2.5.2</w:t>
      </w:r>
      <w:r>
        <w:rPr>
          <w:szCs w:val="24"/>
          <w:lang w:eastAsia="lt-LT"/>
        </w:rPr>
        <w:t xml:space="preserve">. iš užkrėstos ir padidintos rizikos teritorijų į kitas Lietuvos Respublikos teritorijas, </w:t>
      </w:r>
    </w:p>
    <w:p w14:paraId="18BC5206" w14:textId="77777777" w:rsidR="00787205" w:rsidRDefault="00523074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2.5.3</w:t>
      </w:r>
      <w:r>
        <w:rPr>
          <w:szCs w:val="24"/>
          <w:lang w:eastAsia="lt-LT"/>
        </w:rPr>
        <w:t>. i</w:t>
      </w:r>
      <w:r>
        <w:rPr>
          <w:szCs w:val="24"/>
          <w:lang w:eastAsia="lt-LT"/>
        </w:rPr>
        <w:t>š užkrėstos teritorijos į padidintos rizikos teritoriją ir atvirkščiai;“.</w:t>
      </w:r>
    </w:p>
    <w:p w14:paraId="18BC5207" w14:textId="77777777" w:rsidR="00787205" w:rsidRDefault="00523074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4.1.1 papunktį ir jį išdėstau taip:</w:t>
      </w:r>
    </w:p>
    <w:p w14:paraId="18BC520A" w14:textId="5210433A" w:rsidR="00787205" w:rsidRDefault="00523074" w:rsidP="00523074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4.1.1</w:t>
      </w:r>
      <w:r>
        <w:rPr>
          <w:szCs w:val="24"/>
          <w:lang w:eastAsia="lt-LT"/>
        </w:rPr>
        <w:t>. nedelsiant būtų pranešama VMVT teritoriniams padaliniams apie jų medžioklės ploto vienetuose rastus nugaišusius še</w:t>
      </w:r>
      <w:r>
        <w:rPr>
          <w:szCs w:val="24"/>
          <w:lang w:eastAsia="lt-LT"/>
        </w:rPr>
        <w:t>rnus, kuriuos, VMVT teritorinio padalinio pareigūnui paėmus mėginius AKM tyrimams, medžioklės plotų naudotojai turi sutvarkyti tame pačiame medžioklės ploto vienete vadovaujantis šio įsakymo 3.5 papunkčiu,“.</w:t>
      </w:r>
    </w:p>
    <w:p w14:paraId="4E77FF4B" w14:textId="77777777" w:rsidR="00523074" w:rsidRDefault="00523074">
      <w:pPr>
        <w:jc w:val="both"/>
      </w:pPr>
    </w:p>
    <w:p w14:paraId="78EE8F8F" w14:textId="77777777" w:rsidR="00523074" w:rsidRDefault="00523074">
      <w:pPr>
        <w:jc w:val="both"/>
      </w:pPr>
    </w:p>
    <w:p w14:paraId="730657B5" w14:textId="77777777" w:rsidR="00523074" w:rsidRDefault="00523074">
      <w:pPr>
        <w:jc w:val="both"/>
      </w:pPr>
    </w:p>
    <w:p w14:paraId="18BC520D" w14:textId="54046137" w:rsidR="00787205" w:rsidRDefault="00523074" w:rsidP="00523074">
      <w:pPr>
        <w:jc w:val="both"/>
        <w:rPr>
          <w:sz w:val="18"/>
          <w:szCs w:val="18"/>
          <w:lang w:eastAsia="lt-LT"/>
        </w:rPr>
      </w:pPr>
      <w:r>
        <w:rPr>
          <w:szCs w:val="24"/>
          <w:lang w:eastAsia="lt-LT"/>
        </w:rPr>
        <w:t>Direktorius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 </w:t>
      </w:r>
      <w:r>
        <w:rPr>
          <w:szCs w:val="24"/>
          <w:lang w:eastAsia="lt-LT"/>
        </w:rPr>
        <w:t xml:space="preserve">                      Darius Remeika</w:t>
      </w:r>
    </w:p>
    <w:bookmarkStart w:id="0" w:name="_GoBack" w:displacedByCustomXml="next"/>
    <w:bookmarkEnd w:id="0" w:displacedByCustomXml="next"/>
    <w:sectPr w:rsidR="00787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5212" w14:textId="77777777" w:rsidR="00787205" w:rsidRDefault="00523074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18BC5213" w14:textId="77777777" w:rsidR="00787205" w:rsidRDefault="00523074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5217" w14:textId="77777777" w:rsidR="00787205" w:rsidRDefault="00787205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5218" w14:textId="77777777" w:rsidR="00787205" w:rsidRDefault="00787205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521A" w14:textId="77777777" w:rsidR="00787205" w:rsidRDefault="00787205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5210" w14:textId="77777777" w:rsidR="00787205" w:rsidRDefault="00523074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18BC5211" w14:textId="77777777" w:rsidR="00787205" w:rsidRDefault="00523074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5214" w14:textId="77777777" w:rsidR="00787205" w:rsidRDefault="00787205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5215" w14:textId="77777777" w:rsidR="00787205" w:rsidRDefault="00523074">
    <w:pPr>
      <w:tabs>
        <w:tab w:val="center" w:pos="4819"/>
        <w:tab w:val="right" w:pos="9638"/>
      </w:tabs>
      <w:suppressAutoHyphens/>
      <w:jc w:val="center"/>
      <w:rPr>
        <w:szCs w:val="24"/>
        <w:lang w:val="x-none" w:eastAsia="ar-SA"/>
      </w:rPr>
    </w:pPr>
    <w:r>
      <w:rPr>
        <w:szCs w:val="24"/>
        <w:lang w:val="x-none" w:eastAsia="ar-SA"/>
      </w:rPr>
      <w:fldChar w:fldCharType="begin"/>
    </w:r>
    <w:r>
      <w:rPr>
        <w:szCs w:val="24"/>
        <w:lang w:val="x-none" w:eastAsia="ar-SA"/>
      </w:rPr>
      <w:instrText>PAGE   \* MERGEFORMAT</w:instrText>
    </w:r>
    <w:r>
      <w:rPr>
        <w:szCs w:val="24"/>
        <w:lang w:val="x-none" w:eastAsia="ar-SA"/>
      </w:rPr>
      <w:fldChar w:fldCharType="separate"/>
    </w:r>
    <w:r>
      <w:rPr>
        <w:szCs w:val="24"/>
        <w:lang w:eastAsia="ar-SA"/>
      </w:rPr>
      <w:t>2</w:t>
    </w:r>
    <w:r>
      <w:rPr>
        <w:szCs w:val="24"/>
        <w:lang w:val="x-none" w:eastAsia="ar-SA"/>
      </w:rPr>
      <w:fldChar w:fldCharType="end"/>
    </w:r>
  </w:p>
  <w:p w14:paraId="18BC5216" w14:textId="77777777" w:rsidR="00787205" w:rsidRDefault="00787205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5219" w14:textId="77777777" w:rsidR="00787205" w:rsidRDefault="00787205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5"/>
    <w:rsid w:val="001E4F85"/>
    <w:rsid w:val="00523074"/>
    <w:rsid w:val="007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8BC5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8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35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75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3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4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767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119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50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47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8F4EDF9-AEBC-4458-81CA-6FBCEDE0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</vt:lpstr>
      <vt:lpstr>LIETUVOS RESPUBLIKOS</vt:lpstr>
    </vt:vector>
  </TitlesOfParts>
  <Company>Hewlett-Packard Company</Company>
  <LinksUpToDate>false</LinksUpToDate>
  <CharactersWithSpaces>1741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2017-09-29T10:50:00Z</dcterms:created>
  <dc:creator>a</dc:creator>
  <lastModifiedBy>JUOSPONIENĖ Karolina</lastModifiedBy>
  <lastPrinted>2017-09-21T06:14:00Z</lastPrinted>
  <dcterms:modified xsi:type="dcterms:W3CDTF">2017-09-29T12:22:00Z</dcterms:modified>
  <revision>3</revision>
  <dc:title>LIETUVOS RESPUBLIKOS</dc:title>
</coreProperties>
</file>